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rdgdoc.xml.htm"/>
      <w:bookmarkStart w:id="1" w:name="ksrdg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Mathis Donald H</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FLUENT,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300 VESEY STREET, 9TH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10282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Fluent, Inc.</w:t>
              </w:r>
            </w:hyperlink>
            <w:r>
              <w:rPr/>
              <w:t xml:space="preserve"> [ </w:t>
            </w:r>
            <w:r>
              <w:rPr>
                <w:rFonts w:ascii="Times;serif" w:hAnsi="Times;serif"/>
                <w:color w:val="0000FF"/>
                <w:sz w:val="24"/>
                <w:shd w:fill="FFFFFF" w:val="clear"/>
              </w:rPr>
              <w:t>FLNT</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01/05/2026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2"/>
        <w:gridCol w:w="901"/>
        <w:gridCol w:w="771"/>
        <w:gridCol w:w="599"/>
        <w:gridCol w:w="350"/>
        <w:gridCol w:w="976"/>
        <w:gridCol w:w="459"/>
        <w:gridCol w:w="621"/>
        <w:gridCol w:w="1170"/>
        <w:gridCol w:w="1003"/>
        <w:gridCol w:w="9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01/05/2026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15,152</w:t>
            </w:r>
            <w:r>
              <w:rPr>
                <w:rFonts w:ascii="Times;serif" w:hAnsi="Times;serif"/>
                <w:color w:val="008000"/>
                <w:position w:val="7"/>
                <w:sz w:val="16"/>
                <w:sz w:val="20"/>
                <w:shd w:fill="FFFFFF" w:val="clear"/>
              </w:rPr>
              <w:t>(1)</w:t>
            </w:r>
            <w:r>
              <w:rPr/>
              <w:t xml:space="preserve"> </w:t>
            </w:r>
          </w:p>
        </w:tc>
        <w:tc>
          <w:tcPr>
            <w:tcW w:w="4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140,922</w:t>
            </w:r>
          </w:p>
        </w:tc>
        <w:tc>
          <w:tcPr>
            <w:tcW w:w="10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3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06/17/2026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30,096</w:t>
            </w:r>
            <w:r>
              <w:rPr>
                <w:rFonts w:ascii="Times;serif" w:hAnsi="Times;serif"/>
                <w:color w:val="008000"/>
                <w:position w:val="7"/>
                <w:sz w:val="16"/>
                <w:sz w:val="20"/>
                <w:shd w:fill="FFFFFF" w:val="clear"/>
              </w:rPr>
              <w:t>(2)</w:t>
            </w:r>
            <w:r>
              <w:rPr/>
              <w:t xml:space="preserve"> </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171,018</w:t>
            </w:r>
          </w:p>
        </w:tc>
        <w:tc>
          <w:tcPr>
            <w:tcW w:w="10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On January 5, 2026, the Reporting Person received a grant of 15,152 restricted stock units ("RSUs") under the Issuer's 2022 Omnibus Equity Incentive Plan. The RSUs will vest in three equal annual installments, with the first installment vesting on January 5, 2027.</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On June 17, 2026, the Reporting Person received a grant of 30,096 RSUs under the Issuer's 2022 Omnibus Equity Incentive Plan. The RSUs will vest in three equal annual installments, with the first installment vesting on June 17, 2027.</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Donald Mathis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61543" TargetMode="External"/><Relationship Id="rId5" Type="http://schemas.openxmlformats.org/officeDocument/2006/relationships/hyperlink" Target="http://www.sec.gov/cgi-bin/browse-edgar?action=getcompany&amp;CIK=000146032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652</Words>
  <Characters>3487</Characters>
  <CharactersWithSpaces>4073</CharactersWithSpaces>
  <Paragraphs>104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