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7"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-623570</wp:posOffset>
            </wp:positionV>
            <wp:extent cx="57785" cy="636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90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-623570</wp:posOffset>
            </wp:positionV>
            <wp:extent cx="57785" cy="636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90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739775</wp:posOffset>
            </wp:positionV>
            <wp:extent cx="7046595" cy="7303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7303770"/>
                    </a:xfrm>
                    <a:prstGeom prst="rect">
                      <a:avLst/>
                    </a:prstGeom>
                    <a:noFill/>
                  </pic:spPr>
                </pic:pic>
              </a:graphicData>
            </a:graphic>
          </wp:anchor>
        </w:drawing>
      </w:r>
    </w:p>
    <w:p>
      <w:pPr>
        <w:spacing w:after="0" w:line="1174" w:lineRule="exact"/>
        <w:rPr>
          <w:sz w:val="24"/>
          <w:szCs w:val="24"/>
          <w:color w:val="auto"/>
        </w:rPr>
      </w:pPr>
    </w:p>
    <w:p>
      <w:pPr>
        <w:sectPr>
          <w:pgSz w:w="11900" w:h="16838"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4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GEYGAN JAMES</w:t>
              </w:r>
            </w:hyperlink>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Fluent,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FLNT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40" w:type="dxa"/>
            <w:vAlign w:val="bottom"/>
            <w:gridSpan w:val="4"/>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Borders>
              <w:bottom w:val="single" w:sz="8" w:color="0000EE"/>
            </w:tcBorders>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gridSpan w:val="4"/>
            <w:vMerge w:val="continue"/>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tcPr>
          <w:p>
            <w:pPr>
              <w:spacing w:after="0"/>
              <w:rPr>
                <w:sz w:val="5"/>
                <w:szCs w:val="5"/>
                <w:color w:val="auto"/>
              </w:rPr>
            </w:pPr>
          </w:p>
        </w:tc>
        <w:tc>
          <w:tcPr>
            <w:tcW w:w="2820" w:type="dxa"/>
            <w:vAlign w:val="bottom"/>
          </w:tcPr>
          <w:p>
            <w:pPr>
              <w:spacing w:after="0"/>
              <w:rPr>
                <w:sz w:val="5"/>
                <w:szCs w:val="5"/>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50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50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16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600"/>
              <w:spacing w:after="0" w:line="129"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0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06/12/2026</w:t>
            </w:r>
          </w:p>
        </w:tc>
        <w:tc>
          <w:tcPr>
            <w:tcW w:w="28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300 VESEY SREET</w:t>
            </w:r>
          </w:p>
        </w:tc>
        <w:tc>
          <w:tcPr>
            <w:tcW w:w="1220" w:type="dxa"/>
            <w:vAlign w:val="bottom"/>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28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9TH FLOOR</w:t>
            </w: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28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0" w:gutter="0" w:footer="0" w:header="0"/>
          <w:type w:val="continuous"/>
        </w:sectPr>
      </w:pPr>
    </w:p>
    <w:p>
      <w:pPr>
        <w:spacing w:after="0" w:line="18"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10282</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9" w:lineRule="exact"/>
        <w:rPr>
          <w:sz w:val="20"/>
          <w:szCs w:val="20"/>
          <w:color w:val="auto"/>
        </w:rPr>
      </w:pPr>
    </w:p>
    <w:p>
      <w:pPr>
        <w:sectPr>
          <w:pgSz w:w="11900" w:h="16838" w:orient="portrait"/>
          <w:cols w:equalWidth="0" w:num="2">
            <w:col w:w="7540" w:space="720"/>
            <w:col w:w="282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44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080" w:type="dxa"/>
            <w:vAlign w:val="bottom"/>
            <w:gridSpan w:val="3"/>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116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00" w:type="dxa"/>
            <w:vAlign w:val="bottom"/>
            <w:gridSpan w:val="2"/>
          </w:tcPr>
          <w:p>
            <w:pPr>
              <w:ind w:left="440"/>
              <w:spacing w:after="0" w:line="129"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Beneficially</w:t>
            </w:r>
          </w:p>
        </w:tc>
        <w:tc>
          <w:tcPr>
            <w:tcW w:w="46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11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11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gridSpan w:val="4"/>
            <w:vMerge w:val="restart"/>
          </w:tcPr>
          <w:p>
            <w:pPr>
              <w:ind w:left="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jc w:val="right"/>
              <w:ind w:right="217"/>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Global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06/12/2026</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60,183</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2.7517</w:t>
            </w:r>
            <w:r>
              <w:rPr>
                <w:rFonts w:ascii="Times New Roman" w:cs="Times New Roman" w:eastAsia="Times New Roman" w:hAnsi="Times New Roman"/>
                <w:sz w:val="21"/>
                <w:szCs w:val="21"/>
                <w:color w:val="008000"/>
                <w:w w:val="93"/>
                <w:vertAlign w:val="superscript"/>
              </w:rPr>
              <w:t>(1)</w:t>
            </w: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3,100,838</w:t>
            </w:r>
          </w:p>
        </w:tc>
        <w:tc>
          <w:tcPr>
            <w:tcW w:w="320" w:type="dxa"/>
            <w:vAlign w:val="bottom"/>
          </w:tcPr>
          <w:p>
            <w:pPr>
              <w:spacing w:after="0"/>
              <w:rPr>
                <w:sz w:val="17"/>
                <w:szCs w:val="17"/>
                <w:color w:val="auto"/>
              </w:rPr>
            </w:pPr>
          </w:p>
        </w:tc>
        <w:tc>
          <w:tcPr>
            <w:tcW w:w="54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4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80" w:type="dxa"/>
            <w:vAlign w:val="bottom"/>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5"/>
        </w:trPr>
        <w:tc>
          <w:tcPr>
            <w:tcW w:w="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top w:val="single" w:sz="8" w:color="2C2C2C"/>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top w:val="single" w:sz="8" w:color="2C2C2C"/>
              <w:bottom w:val="single" w:sz="8" w:color="2C2C2C"/>
            </w:tcBorders>
          </w:tcPr>
          <w:p>
            <w:pPr>
              <w:spacing w:after="0"/>
              <w:rPr>
                <w:sz w:val="24"/>
                <w:szCs w:val="24"/>
                <w:color w:val="auto"/>
              </w:rPr>
            </w:pPr>
          </w:p>
        </w:tc>
        <w:tc>
          <w:tcPr>
            <w:tcW w:w="1500" w:type="dxa"/>
            <w:vAlign w:val="bottom"/>
            <w:tcBorders>
              <w:top w:val="single" w:sz="8" w:color="2C2C2C"/>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06/12/2026</w:t>
            </w:r>
          </w:p>
        </w:tc>
        <w:tc>
          <w:tcPr>
            <w:tcW w:w="400" w:type="dxa"/>
            <w:vAlign w:val="bottom"/>
            <w:tcBorders>
              <w:top w:val="single" w:sz="8" w:color="2C2C2C"/>
              <w:bottom w:val="single" w:sz="8" w:color="2C2C2C"/>
            </w:tcBorders>
          </w:tcPr>
          <w:p>
            <w:pPr>
              <w:spacing w:after="0"/>
              <w:rPr>
                <w:sz w:val="24"/>
                <w:szCs w:val="24"/>
                <w:color w:val="auto"/>
              </w:rPr>
            </w:pPr>
          </w:p>
        </w:tc>
        <w:tc>
          <w:tcPr>
            <w:tcW w:w="6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Borders>
              <w:top w:val="single" w:sz="8" w:color="2C2C2C"/>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1,185</w:t>
            </w:r>
          </w:p>
        </w:tc>
        <w:tc>
          <w:tcPr>
            <w:tcW w:w="480" w:type="dxa"/>
            <w:vAlign w:val="bottom"/>
            <w:tcBorders>
              <w:top w:val="single" w:sz="8" w:color="2C2C2C"/>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740" w:type="dxa"/>
            <w:vAlign w:val="bottom"/>
            <w:tcBorders>
              <w:top w:val="single" w:sz="8" w:color="2C2C2C"/>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2.7822</w:t>
            </w:r>
            <w:r>
              <w:rPr>
                <w:rFonts w:ascii="Times New Roman" w:cs="Times New Roman" w:eastAsia="Times New Roman" w:hAnsi="Times New Roman"/>
                <w:sz w:val="21"/>
                <w:szCs w:val="21"/>
                <w:color w:val="008000"/>
                <w:w w:val="93"/>
                <w:vertAlign w:val="superscript"/>
              </w:rPr>
              <w:t>(1)</w:t>
            </w:r>
          </w:p>
        </w:tc>
        <w:tc>
          <w:tcPr>
            <w:tcW w:w="4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59,591</w:t>
            </w:r>
          </w:p>
        </w:tc>
        <w:tc>
          <w:tcPr>
            <w:tcW w:w="32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jc w:val="center"/>
              <w:ind w:right="334"/>
              <w:spacing w:after="0"/>
              <w:rPr>
                <w:sz w:val="20"/>
                <w:szCs w:val="20"/>
                <w:color w:val="auto"/>
              </w:rPr>
            </w:pPr>
            <w:r>
              <w:rPr>
                <w:rFonts w:ascii="Times New Roman" w:cs="Times New Roman" w:eastAsia="Times New Roman" w:hAnsi="Times New Roman"/>
                <w:sz w:val="17"/>
                <w:szCs w:val="17"/>
                <w:color w:val="0000FF"/>
              </w:rPr>
              <w:t>D</w:t>
            </w:r>
          </w:p>
        </w:tc>
        <w:tc>
          <w:tcPr>
            <w:tcW w:w="26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By Global</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17"/>
                <w:szCs w:val="17"/>
                <w:color w:val="auto"/>
              </w:rPr>
            </w:pPr>
          </w:p>
        </w:tc>
        <w:tc>
          <w:tcPr>
            <w:tcW w:w="15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color w:val="0000FF"/>
              </w:rPr>
              <w:t>06/16/2026</w:t>
            </w: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(3)</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40,390</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7"/>
                <w:szCs w:val="17"/>
                <w:color w:val="auto"/>
              </w:rPr>
            </w:pPr>
          </w:p>
        </w:tc>
        <w:tc>
          <w:tcPr>
            <w:tcW w:w="540" w:type="dxa"/>
            <w:vAlign w:val="bottom"/>
            <w:vMerge w:val="restart"/>
          </w:tcPr>
          <w:p>
            <w:pPr>
              <w:jc w:val="center"/>
              <w:ind w:right="109"/>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40" w:type="dxa"/>
            <w:vAlign w:val="bottom"/>
          </w:tcPr>
          <w:p>
            <w:pPr>
              <w:spacing w:after="0"/>
              <w:rPr>
                <w:sz w:val="17"/>
                <w:szCs w:val="17"/>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3,060,448</w:t>
            </w:r>
          </w:p>
        </w:tc>
        <w:tc>
          <w:tcPr>
            <w:tcW w:w="320" w:type="dxa"/>
            <w:vAlign w:val="bottom"/>
          </w:tcPr>
          <w:p>
            <w:pPr>
              <w:spacing w:after="0"/>
              <w:rPr>
                <w:sz w:val="17"/>
                <w:szCs w:val="17"/>
                <w:color w:val="auto"/>
              </w:rPr>
            </w:pPr>
          </w:p>
        </w:tc>
        <w:tc>
          <w:tcPr>
            <w:tcW w:w="540" w:type="dxa"/>
            <w:vAlign w:val="bottom"/>
            <w:vMerge w:val="restart"/>
          </w:tcPr>
          <w:p>
            <w:pPr>
              <w:jc w:val="center"/>
              <w:ind w:right="334"/>
              <w:spacing w:after="0"/>
              <w:rPr>
                <w:sz w:val="20"/>
                <w:szCs w:val="20"/>
                <w:color w:val="auto"/>
              </w:rPr>
            </w:pPr>
            <w:r>
              <w:rPr>
                <w:rFonts w:ascii="Times New Roman" w:cs="Times New Roman" w:eastAsia="Times New Roman" w:hAnsi="Times New Roman"/>
                <w:sz w:val="17"/>
                <w:szCs w:val="17"/>
                <w:color w:val="0000FF"/>
              </w:rPr>
              <w:t>I</w:t>
            </w:r>
          </w:p>
        </w:tc>
        <w:tc>
          <w:tcPr>
            <w:tcW w:w="11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Value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46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11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15"/>
        </w:trPr>
        <w:tc>
          <w:tcPr>
            <w:tcW w:w="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7"/>
                <w:szCs w:val="17"/>
                <w:color w:val="0000FF"/>
              </w:rPr>
              <w:t>Corporation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80" w:type="dxa"/>
            <w:vAlign w:val="bottom"/>
            <w:gridSpan w:val="12"/>
          </w:tcPr>
          <w:p>
            <w:pPr>
              <w:jc w:val="center"/>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360" w:type="dxa"/>
            <w:vAlign w:val="bottom"/>
            <w:gridSpan w:val="11"/>
          </w:tcPr>
          <w:p>
            <w:pPr>
              <w:jc w:val="center"/>
              <w:ind w:left="61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7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90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Direct (D)</w:t>
            </w: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Indirect</w:t>
            </w:r>
          </w:p>
        </w:tc>
        <w:tc>
          <w:tcPr>
            <w:tcW w:w="9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1"/>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right"/>
              <w:ind w:right="17"/>
              <w:spacing w:after="0" w:line="129"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0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jc w:val="center"/>
              <w:ind w:left="23"/>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jc w:val="right"/>
              <w:ind w:right="317"/>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11,366</w:t>
            </w: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Funded</w:t>
            </w:r>
          </w:p>
        </w:tc>
        <w:tc>
          <w:tcPr>
            <w:tcW w:w="780" w:type="dxa"/>
            <w:vAlign w:val="bottom"/>
          </w:tcPr>
          <w:p>
            <w:pPr>
              <w:jc w:val="center"/>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0.0005</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gridSpan w:val="2"/>
          </w:tcPr>
          <w:p>
            <w:pPr>
              <w:ind w:left="220"/>
              <w:spacing w:after="0" w:line="129" w:lineRule="exact"/>
              <w:rPr>
                <w:sz w:val="20"/>
                <w:szCs w:val="20"/>
                <w:color w:val="auto"/>
              </w:rPr>
            </w:pPr>
            <w:r>
              <w:rPr>
                <w:rFonts w:ascii="Times New Roman" w:cs="Times New Roman" w:eastAsia="Times New Roman" w:hAnsi="Times New Roman"/>
                <w:sz w:val="13"/>
                <w:szCs w:val="13"/>
                <w:color w:val="0000FF"/>
              </w:rPr>
              <w:t>11,366</w:t>
            </w:r>
          </w:p>
        </w:tc>
        <w:tc>
          <w:tcPr>
            <w:tcW w:w="540" w:type="dxa"/>
            <w:vAlign w:val="bottom"/>
          </w:tcPr>
          <w:p>
            <w:pPr>
              <w:jc w:val="center"/>
              <w:ind w:left="254"/>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p>
        </w:tc>
        <w:tc>
          <w:tcPr>
            <w:tcW w:w="10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11,366</w:t>
            </w: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11,366</w:t>
            </w:r>
          </w:p>
        </w:tc>
        <w:tc>
          <w:tcPr>
            <w:tcW w:w="540" w:type="dxa"/>
            <w:vAlign w:val="bottom"/>
          </w:tcPr>
          <w:p>
            <w:pPr>
              <w:jc w:val="center"/>
              <w:ind w:left="254"/>
              <w:spacing w:after="0"/>
              <w:rPr>
                <w:sz w:val="20"/>
                <w:szCs w:val="20"/>
                <w:color w:val="auto"/>
              </w:rPr>
            </w:pPr>
            <w:r>
              <w:rPr>
                <w:rFonts w:ascii="Times New Roman" w:cs="Times New Roman" w:eastAsia="Times New Roman" w:hAnsi="Times New Roman"/>
                <w:sz w:val="13"/>
                <w:szCs w:val="13"/>
                <w:color w:val="0000FF"/>
              </w:rPr>
              <w:t>D</w:t>
            </w:r>
          </w:p>
        </w:tc>
        <w:tc>
          <w:tcPr>
            <w:tcW w:w="2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2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By Global</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vMerge w:val="restart"/>
          </w:tcPr>
          <w:p>
            <w:pPr>
              <w:jc w:val="center"/>
              <w:ind w:left="43"/>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vMerge w:val="restart"/>
          </w:tcPr>
          <w:p>
            <w:pPr>
              <w:jc w:val="right"/>
              <w:ind w:right="217"/>
              <w:spacing w:after="0"/>
              <w:rPr>
                <w:sz w:val="20"/>
                <w:szCs w:val="20"/>
                <w:color w:val="auto"/>
              </w:rPr>
            </w:pPr>
            <w:r>
              <w:rPr>
                <w:rFonts w:ascii="Times New Roman" w:cs="Times New Roman" w:eastAsia="Times New Roman" w:hAnsi="Times New Roman"/>
                <w:sz w:val="11"/>
                <w:szCs w:val="11"/>
                <w:color w:val="008000"/>
              </w:rPr>
              <w:t>(5)</w:t>
            </w: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67,059</w:t>
            </w: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Value</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Funded</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0.0005</w:t>
            </w: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67,059</w:t>
            </w:r>
          </w:p>
        </w:tc>
        <w:tc>
          <w:tcPr>
            <w:tcW w:w="540" w:type="dxa"/>
            <w:vAlign w:val="bottom"/>
          </w:tcPr>
          <w:p>
            <w:pPr>
              <w:jc w:val="center"/>
              <w:ind w:left="274"/>
              <w:spacing w:after="0" w:line="141" w:lineRule="exact"/>
              <w:rPr>
                <w:sz w:val="20"/>
                <w:szCs w:val="20"/>
                <w:color w:val="auto"/>
              </w:rPr>
            </w:pPr>
            <w:r>
              <w:rPr>
                <w:rFonts w:ascii="Times New Roman" w:cs="Times New Roman" w:eastAsia="Times New Roman" w:hAnsi="Times New Roman"/>
                <w:sz w:val="13"/>
                <w:szCs w:val="13"/>
                <w:color w:val="0000FF"/>
                <w:w w:val="91"/>
              </w:rPr>
              <w:t>I</w:t>
            </w:r>
          </w:p>
        </w:tc>
        <w:tc>
          <w:tcPr>
            <w:tcW w:w="2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ind w:left="160"/>
              <w:spacing w:after="0" w:line="65" w:lineRule="exact"/>
              <w:rPr>
                <w:sz w:val="20"/>
                <w:szCs w:val="20"/>
                <w:color w:val="auto"/>
              </w:rPr>
            </w:pPr>
            <w:r>
              <w:rPr>
                <w:rFonts w:ascii="Times New Roman" w:cs="Times New Roman" w:eastAsia="Times New Roman" w:hAnsi="Times New Roman"/>
                <w:sz w:val="7"/>
                <w:szCs w:val="7"/>
                <w:color w:val="0000FF"/>
              </w:rPr>
              <w:t>Stock</w:t>
            </w: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gridSpan w:val="3"/>
          </w:tcPr>
          <w:p>
            <w:pPr>
              <w:ind w:left="60"/>
              <w:spacing w:after="0" w:line="65" w:lineRule="exact"/>
              <w:rPr>
                <w:sz w:val="20"/>
                <w:szCs w:val="20"/>
                <w:color w:val="auto"/>
              </w:rPr>
            </w:pPr>
            <w:r>
              <w:rPr>
                <w:rFonts w:ascii="Times New Roman" w:cs="Times New Roman" w:eastAsia="Times New Roman" w:hAnsi="Times New Roman"/>
                <w:sz w:val="7"/>
                <w:szCs w:val="7"/>
                <w:color w:val="0000FF"/>
              </w:rPr>
              <w:t>Investment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gridSpan w:val="3"/>
            <w:vMerge w:val="restart"/>
          </w:tcPr>
          <w:p>
            <w:pPr>
              <w:ind w:left="60"/>
              <w:spacing w:after="0" w:line="231" w:lineRule="exact"/>
              <w:rPr>
                <w:sz w:val="20"/>
                <w:szCs w:val="20"/>
                <w:color w:val="auto"/>
              </w:rPr>
            </w:pPr>
            <w:r>
              <w:rPr>
                <w:rFonts w:ascii="Times New Roman" w:cs="Times New Roman" w:eastAsia="Times New Roman" w:hAnsi="Times New Roman"/>
                <w:sz w:val="13"/>
                <w:szCs w:val="13"/>
                <w:color w:val="0000FF"/>
              </w:rPr>
              <w:t>Corporation</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tcPr>
          <w:p>
            <w:pPr>
              <w:spacing w:after="0"/>
              <w:rPr>
                <w:sz w:val="11"/>
                <w:szCs w:val="11"/>
                <w:color w:val="auto"/>
              </w:rPr>
            </w:pPr>
          </w:p>
        </w:tc>
        <w:tc>
          <w:tcPr>
            <w:tcW w:w="1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900" w:type="dxa"/>
            <w:vAlign w:val="bottom"/>
            <w:tcBorders>
              <w:bottom w:val="single" w:sz="8" w:color="2C2C2C"/>
            </w:tcBorders>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By Global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p>
        </w:tc>
        <w:tc>
          <w:tcPr>
            <w:tcW w:w="1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jc w:val="center"/>
              <w:ind w:left="43"/>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1"/>
                <w:szCs w:val="11"/>
                <w:color w:val="008000"/>
              </w:rPr>
              <w:t>(7)</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rPr>
                <w:sz w:val="20"/>
                <w:szCs w:val="20"/>
                <w:color w:val="auto"/>
              </w:rPr>
            </w:pPr>
            <w:r>
              <w:rPr>
                <w:rFonts w:ascii="Times New Roman" w:cs="Times New Roman" w:eastAsia="Times New Roman" w:hAnsi="Times New Roman"/>
                <w:sz w:val="17"/>
                <w:szCs w:val="17"/>
                <w:color w:val="0000FF"/>
              </w:rPr>
              <w:t>67,059</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gridSpan w:val="2"/>
          </w:tcPr>
          <w:p>
            <w:pPr>
              <w:ind w:left="220"/>
              <w:spacing w:after="0"/>
              <w:rPr>
                <w:sz w:val="20"/>
                <w:szCs w:val="20"/>
                <w:color w:val="auto"/>
              </w:rPr>
            </w:pPr>
            <w:r>
              <w:rPr>
                <w:rFonts w:ascii="Times New Roman" w:cs="Times New Roman" w:eastAsia="Times New Roman" w:hAnsi="Times New Roman"/>
                <w:sz w:val="13"/>
                <w:szCs w:val="13"/>
                <w:color w:val="0000FF"/>
              </w:rPr>
              <w:t>67,059</w:t>
            </w:r>
          </w:p>
        </w:tc>
        <w:tc>
          <w:tcPr>
            <w:tcW w:w="540" w:type="dxa"/>
            <w:vAlign w:val="bottom"/>
          </w:tcPr>
          <w:p>
            <w:pPr>
              <w:jc w:val="center"/>
              <w:ind w:left="274"/>
              <w:spacing w:after="0"/>
              <w:rPr>
                <w:sz w:val="20"/>
                <w:szCs w:val="20"/>
                <w:color w:val="auto"/>
              </w:rPr>
            </w:pPr>
            <w:r>
              <w:rPr>
                <w:rFonts w:ascii="Times New Roman" w:cs="Times New Roman" w:eastAsia="Times New Roman" w:hAnsi="Times New Roman"/>
                <w:sz w:val="13"/>
                <w:szCs w:val="13"/>
                <w:color w:val="0000FF"/>
                <w:w w:val="91"/>
              </w:rPr>
              <w:t>I</w:t>
            </w:r>
          </w:p>
        </w:tc>
        <w:tc>
          <w:tcPr>
            <w:tcW w:w="260" w:type="dxa"/>
            <w:vAlign w:val="bottom"/>
          </w:tcPr>
          <w:p>
            <w:pPr>
              <w:spacing w:after="0"/>
              <w:rPr>
                <w:sz w:val="18"/>
                <w:szCs w:val="18"/>
                <w:color w:val="auto"/>
              </w:rPr>
            </w:pP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Value</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ind w:left="160"/>
              <w:spacing w:after="0" w:line="72" w:lineRule="exact"/>
              <w:rPr>
                <w:sz w:val="20"/>
                <w:szCs w:val="20"/>
                <w:color w:val="auto"/>
              </w:rPr>
            </w:pPr>
            <w:r>
              <w:rPr>
                <w:rFonts w:ascii="Times New Roman" w:cs="Times New Roman" w:eastAsia="Times New Roman" w:hAnsi="Times New Roman"/>
                <w:sz w:val="7"/>
                <w:szCs w:val="7"/>
                <w:color w:val="0000FF"/>
              </w:rPr>
              <w:t>Stock</w:t>
            </w: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00" w:type="dxa"/>
            <w:vAlign w:val="bottom"/>
            <w:gridSpan w:val="3"/>
          </w:tcPr>
          <w:p>
            <w:pPr>
              <w:ind w:left="60"/>
              <w:spacing w:after="0" w:line="72" w:lineRule="exact"/>
              <w:rPr>
                <w:sz w:val="20"/>
                <w:szCs w:val="20"/>
                <w:color w:val="auto"/>
              </w:rPr>
            </w:pPr>
            <w:r>
              <w:rPr>
                <w:rFonts w:ascii="Times New Roman" w:cs="Times New Roman" w:eastAsia="Times New Roman" w:hAnsi="Times New Roman"/>
                <w:sz w:val="7"/>
                <w:szCs w:val="7"/>
                <w:color w:val="0000FF"/>
              </w:rPr>
              <w:t>Investment</w:t>
            </w:r>
          </w:p>
        </w:tc>
        <w:tc>
          <w:tcPr>
            <w:tcW w:w="0" w:type="dxa"/>
            <w:vAlign w:val="bottom"/>
          </w:tcPr>
          <w:p>
            <w:pPr>
              <w:spacing w:after="0"/>
              <w:rPr>
                <w:sz w:val="1"/>
                <w:szCs w:val="1"/>
                <w:color w:val="auto"/>
              </w:rPr>
            </w:pPr>
          </w:p>
        </w:tc>
      </w:tr>
    </w:tbl>
    <w:p>
      <w:pPr>
        <w:jc w:val="right"/>
        <w:ind w:right="80"/>
        <w:spacing w:after="0"/>
        <w:rPr>
          <w:sz w:val="20"/>
          <w:szCs w:val="20"/>
          <w:color w:val="auto"/>
        </w:rPr>
      </w:pPr>
      <w:r>
        <w:rPr>
          <w:rFonts w:ascii="Times New Roman" w:cs="Times New Roman" w:eastAsia="Times New Roman" w:hAnsi="Times New Roman"/>
          <w:sz w:val="13"/>
          <w:szCs w:val="13"/>
          <w:color w:val="0000FF"/>
        </w:rPr>
        <w:t>Corporation</w:t>
      </w:r>
      <w:r>
        <w:rPr>
          <w:rFonts w:ascii="Times New Roman" w:cs="Times New Roman" w:eastAsia="Times New Roman" w:hAnsi="Times New Roman"/>
          <w:sz w:val="21"/>
          <w:szCs w:val="21"/>
          <w:color w:val="008000"/>
          <w:vertAlign w:val="superscript"/>
        </w:rPr>
        <w:t>(2)</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620" w:firstLine="1"/>
        <w:spacing w:after="0" w:line="253"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purchase price. The Reporting Person undertakes to provide to the staff, the issuer, or a security holder full information regarding the number of shares purchased at each separate price.</w:t>
      </w:r>
    </w:p>
    <w:p>
      <w:pPr>
        <w:spacing w:after="0" w:line="18" w:lineRule="exact"/>
        <w:rPr>
          <w:rFonts w:ascii="Times New Roman" w:cs="Times New Roman" w:eastAsia="Times New Roman" w:hAnsi="Times New Roman"/>
          <w:sz w:val="13"/>
          <w:szCs w:val="13"/>
          <w:color w:val="008000"/>
        </w:rPr>
      </w:pPr>
    </w:p>
    <w:p>
      <w:pPr>
        <w:ind w:left="40" w:right="220" w:firstLine="1"/>
        <w:spacing w:after="0"/>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in one or more accounts managed indirectly by Global Value Investment Corporation or its subsidiary or its affiliated entities (collectively, "GVIC"). GVIC is controlled by the reporting person. These securities may be deemed to be beneficially owned by the reporting person because he controls GVIC, and GVIC may be deemed to have beneficial ownership of these securities because it serves as the investment manager to separate managed accounts and/or investment partnerships.</w:t>
      </w:r>
    </w:p>
    <w:p>
      <w:pPr>
        <w:spacing w:after="0" w:line="26"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June 16, 2026, certain separately managed accounts terminated their relationship with, and are no longer advised by, GVIC. The positions held in such accounts are therefore no longer included herein.</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will be exercisable after stockholder approval of the offering of the Pre-Funded Warrants.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Pre-Funded Warrants will terminate when exercised in full.</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will be exercisable after stockholder approval of the offering of the Warrants.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Warrants will expire three years from the date of issuance.</w:t>
      </w:r>
    </w:p>
    <w:p>
      <w:pPr>
        <w:sectPr>
          <w:pgSz w:w="11900" w:h="16838" w:orient="portrait"/>
          <w:cols w:equalWidth="0" w:num="1">
            <w:col w:w="11080"/>
          </w:cols>
          <w:pgMar w:left="460" w:top="217" w:right="359" w:bottom="0" w:gutter="0" w:footer="0" w:header="0"/>
          <w:type w:val="continuous"/>
        </w:sectPr>
      </w:pPr>
    </w:p>
    <w:bookmarkStart w:id="1" w:name="page2"/>
    <w:bookmarkEnd w:id="1"/>
    <w:tbl>
      <w:tblPr>
        <w:tblLayout w:type="fixed"/>
        <w:tblInd w:w="6560" w:type="dxa"/>
        <w:tblCellMar>
          <w:top w:w="0" w:type="dxa"/>
          <w:left w:w="0" w:type="dxa"/>
          <w:bottom w:w="0" w:type="dxa"/>
          <w:right w:w="0" w:type="dxa"/>
        </w:tblCellMar>
      </w:tblPr>
      <w:tr>
        <w:trPr>
          <w:trHeight w:val="195"/>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James P. Geygan</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w w:val="95"/>
              </w:rPr>
              <w:t>06/16/2026</w:t>
            </w:r>
          </w:p>
        </w:tc>
      </w:tr>
      <w:tr>
        <w:trPr>
          <w:trHeight w:val="20"/>
        </w:trPr>
        <w:tc>
          <w:tcPr>
            <w:tcW w:w="11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2559" w:firstLine="1"/>
        <w:spacing w:after="0" w:line="334" w:lineRule="auto"/>
        <w:tabs>
          <w:tab w:leader="none" w:pos="13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1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34726" TargetMode="External"/><Relationship Id="rId14" Type="http://schemas.openxmlformats.org/officeDocument/2006/relationships/hyperlink" Target="http://www.sec.gov/cgi-bin/browse-edgar?action=getcompany&amp;CIK=0001460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2026-06-16T15:33:08Z</dcterms:created>
  <dcterms:modified xsi:type="dcterms:W3CDTF">2026-06-16T15:33:08Z</dcterms:modified>
</cp:coreProperties>
</file>